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7D0C" w14:textId="77777777" w:rsidR="00CF04C7" w:rsidRDefault="00CF04C7" w:rsidP="00CF04C7">
      <w:pPr>
        <w:jc w:val="center"/>
        <w:rPr>
          <w:rFonts w:ascii="Arial" w:hAnsi="Arial" w:cs="Arial"/>
          <w:b/>
        </w:rPr>
      </w:pPr>
      <w:r>
        <w:rPr>
          <w:noProof/>
          <w:lang w:eastAsia="en-AU"/>
        </w:rPr>
        <w:drawing>
          <wp:inline distT="0" distB="0" distL="0" distR="0" wp14:anchorId="0DD7744C" wp14:editId="1D95505E">
            <wp:extent cx="2758831" cy="1043069"/>
            <wp:effectExtent l="0" t="0" r="381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325" cy="1042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67151B" w14:textId="77777777" w:rsidR="00CF04C7" w:rsidRDefault="00CF04C7" w:rsidP="00CF04C7">
      <w:pPr>
        <w:spacing w:after="0" w:line="240" w:lineRule="auto"/>
        <w:rPr>
          <w:rFonts w:ascii="Arial" w:hAnsi="Arial" w:cs="Arial"/>
          <w:b/>
        </w:rPr>
      </w:pPr>
    </w:p>
    <w:p w14:paraId="3FA1A2F9" w14:textId="77777777" w:rsidR="00CF04C7" w:rsidRDefault="00CF04C7" w:rsidP="00CF04C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 Vincent’s Centre for Applied Medical Research</w:t>
      </w:r>
    </w:p>
    <w:p w14:paraId="36F5EF18" w14:textId="56DCFBCD" w:rsidR="00CF04C7" w:rsidRDefault="00CF04C7" w:rsidP="00CF04C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Translational Research Grants</w:t>
      </w:r>
    </w:p>
    <w:p w14:paraId="13E22DE2" w14:textId="77777777" w:rsidR="00CF04C7" w:rsidRPr="00625B1F" w:rsidRDefault="00CF04C7" w:rsidP="00CF04C7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8659"/>
      </w:tblGrid>
      <w:tr w:rsidR="0084506E" w:rsidRPr="00625B1F" w14:paraId="642F6E0D" w14:textId="77777777" w:rsidTr="00F87BBA">
        <w:tc>
          <w:tcPr>
            <w:tcW w:w="8659" w:type="dxa"/>
          </w:tcPr>
          <w:p w14:paraId="0C3B90D2" w14:textId="77777777" w:rsidR="0084506E" w:rsidRPr="00DC46DC" w:rsidRDefault="0084506E" w:rsidP="00F87BB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C46DC">
              <w:rPr>
                <w:rFonts w:ascii="Arial" w:hAnsi="Arial" w:cs="Arial"/>
                <w:b/>
                <w:sz w:val="22"/>
                <w:szCs w:val="22"/>
              </w:rPr>
              <w:t>Specifications for Submission</w:t>
            </w:r>
          </w:p>
        </w:tc>
      </w:tr>
      <w:tr w:rsidR="0084506E" w14:paraId="19437A1B" w14:textId="77777777" w:rsidTr="00F87BBA">
        <w:tc>
          <w:tcPr>
            <w:tcW w:w="8659" w:type="dxa"/>
          </w:tcPr>
          <w:p w14:paraId="0A9DD78C" w14:textId="77777777" w:rsidR="0084506E" w:rsidRPr="00263762" w:rsidRDefault="0084506E" w:rsidP="0084506E">
            <w:pPr>
              <w:numPr>
                <w:ilvl w:val="0"/>
                <w:numId w:val="4"/>
              </w:numPr>
              <w:tabs>
                <w:tab w:val="clear" w:pos="720"/>
                <w:tab w:val="num" w:pos="363"/>
              </w:tabs>
              <w:spacing w:before="120" w:after="120"/>
              <w:ind w:left="363"/>
              <w:rPr>
                <w:rFonts w:ascii="Arial" w:hAnsi="Arial" w:cs="Arial"/>
                <w:b/>
                <w:sz w:val="22"/>
                <w:szCs w:val="22"/>
              </w:rPr>
            </w:pPr>
            <w:r w:rsidRPr="00A90EF1">
              <w:rPr>
                <w:rFonts w:ascii="Arial" w:hAnsi="Arial" w:cs="Arial"/>
                <w:sz w:val="22"/>
                <w:szCs w:val="22"/>
              </w:rPr>
              <w:t xml:space="preserve">Responses must be provided in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A90EF1">
              <w:rPr>
                <w:rFonts w:ascii="Arial" w:hAnsi="Arial" w:cs="Arial"/>
                <w:sz w:val="22"/>
                <w:szCs w:val="22"/>
              </w:rPr>
              <w:t>text boxes provided.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90EF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263762">
              <w:rPr>
                <w:rFonts w:ascii="Arial" w:hAnsi="Arial" w:cs="Arial"/>
                <w:sz w:val="22"/>
                <w:szCs w:val="22"/>
              </w:rPr>
              <w:t xml:space="preserve">Font style is </w:t>
            </w:r>
            <w:r w:rsidRPr="00263762">
              <w:rPr>
                <w:rFonts w:ascii="Arial" w:hAnsi="Arial" w:cs="Arial"/>
                <w:b/>
                <w:bCs/>
                <w:sz w:val="22"/>
                <w:szCs w:val="22"/>
              </w:rPr>
              <w:t>Arial / Size 11</w:t>
            </w:r>
            <w:r w:rsidRPr="00263762">
              <w:rPr>
                <w:rFonts w:ascii="Arial" w:hAnsi="Arial" w:cs="Arial"/>
                <w:sz w:val="22"/>
                <w:szCs w:val="22"/>
              </w:rPr>
              <w:t xml:space="preserve"> (individual questions may also have page limits)</w:t>
            </w:r>
          </w:p>
          <w:p w14:paraId="6462BBC5" w14:textId="77777777" w:rsidR="0084506E" w:rsidRPr="00263762" w:rsidRDefault="0084506E" w:rsidP="0084506E">
            <w:pPr>
              <w:numPr>
                <w:ilvl w:val="0"/>
                <w:numId w:val="4"/>
              </w:numPr>
              <w:tabs>
                <w:tab w:val="clear" w:pos="720"/>
                <w:tab w:val="num" w:pos="363"/>
              </w:tabs>
              <w:spacing w:before="120" w:after="120"/>
              <w:ind w:left="363"/>
              <w:rPr>
                <w:rFonts w:ascii="Arial" w:hAnsi="Arial" w:cs="Arial"/>
                <w:b/>
                <w:sz w:val="22"/>
                <w:szCs w:val="22"/>
              </w:rPr>
            </w:pPr>
            <w:r w:rsidRPr="0026376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x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hard </w:t>
            </w:r>
            <w:r w:rsidRPr="00263762">
              <w:rPr>
                <w:rFonts w:ascii="Arial" w:hAnsi="Arial" w:cs="Arial"/>
                <w:b/>
                <w:bCs/>
                <w:sz w:val="22"/>
                <w:szCs w:val="22"/>
              </w:rPr>
              <w:t>copy</w:t>
            </w:r>
            <w:r w:rsidRPr="00263762">
              <w:rPr>
                <w:rFonts w:ascii="Arial" w:hAnsi="Arial" w:cs="Arial"/>
                <w:sz w:val="22"/>
                <w:szCs w:val="22"/>
              </w:rPr>
              <w:t xml:space="preserve"> of the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263762">
              <w:rPr>
                <w:rFonts w:ascii="Arial" w:hAnsi="Arial" w:cs="Arial"/>
                <w:sz w:val="22"/>
                <w:szCs w:val="22"/>
              </w:rPr>
              <w:t>pplication</w:t>
            </w:r>
          </w:p>
          <w:p w14:paraId="3ACA7153" w14:textId="77777777" w:rsidR="0084506E" w:rsidRPr="001E66A2" w:rsidRDefault="0084506E" w:rsidP="0084506E">
            <w:pPr>
              <w:numPr>
                <w:ilvl w:val="1"/>
                <w:numId w:val="4"/>
              </w:numPr>
              <w:tabs>
                <w:tab w:val="clear" w:pos="1440"/>
                <w:tab w:val="num" w:pos="1134"/>
              </w:tabs>
              <w:spacing w:before="120" w:after="120"/>
              <w:ind w:hanging="589"/>
              <w:rPr>
                <w:rFonts w:ascii="Arial" w:hAnsi="Arial" w:cs="Arial"/>
                <w:b/>
                <w:sz w:val="22"/>
                <w:szCs w:val="22"/>
              </w:rPr>
            </w:pPr>
            <w:r w:rsidRPr="00641D64">
              <w:rPr>
                <w:rFonts w:ascii="Arial" w:hAnsi="Arial" w:cs="Arial"/>
                <w:sz w:val="22"/>
                <w:szCs w:val="22"/>
              </w:rPr>
              <w:t>Printed</w:t>
            </w:r>
            <w:r w:rsidRPr="0026376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double-sided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6376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stapled </w:t>
            </w:r>
            <w:r w:rsidRPr="00263762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263762">
              <w:rPr>
                <w:rFonts w:ascii="Arial" w:hAnsi="Arial" w:cs="Arial"/>
                <w:b/>
                <w:bCs/>
                <w:sz w:val="22"/>
                <w:szCs w:val="22"/>
              </w:rPr>
              <w:t>hole punched</w:t>
            </w:r>
            <w:r w:rsidRPr="00263762">
              <w:rPr>
                <w:rFonts w:ascii="Arial" w:hAnsi="Arial" w:cs="Arial"/>
                <w:sz w:val="22"/>
                <w:szCs w:val="22"/>
              </w:rPr>
              <w:t xml:space="preserve"> (2 holes)</w:t>
            </w:r>
          </w:p>
          <w:p w14:paraId="036A4131" w14:textId="77777777" w:rsidR="0084506E" w:rsidRPr="001E66A2" w:rsidRDefault="0084506E" w:rsidP="0084506E">
            <w:pPr>
              <w:numPr>
                <w:ilvl w:val="1"/>
                <w:numId w:val="4"/>
              </w:numPr>
              <w:tabs>
                <w:tab w:val="clear" w:pos="1440"/>
                <w:tab w:val="num" w:pos="1134"/>
                <w:tab w:val="left" w:pos="2410"/>
                <w:tab w:val="left" w:pos="3119"/>
              </w:tabs>
              <w:ind w:hanging="58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Submit to: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263762">
              <w:rPr>
                <w:rFonts w:ascii="Arial" w:hAnsi="Arial" w:cs="Arial"/>
                <w:sz w:val="22"/>
                <w:szCs w:val="22"/>
              </w:rPr>
              <w:t xml:space="preserve">St Vincent's Clinic </w:t>
            </w:r>
            <w:r>
              <w:rPr>
                <w:rFonts w:ascii="Arial" w:hAnsi="Arial" w:cs="Arial"/>
                <w:sz w:val="22"/>
                <w:szCs w:val="22"/>
              </w:rPr>
              <w:t xml:space="preserve">Research </w:t>
            </w:r>
            <w:r w:rsidRPr="00263762">
              <w:rPr>
                <w:rFonts w:ascii="Arial" w:hAnsi="Arial" w:cs="Arial"/>
                <w:sz w:val="22"/>
                <w:szCs w:val="22"/>
              </w:rPr>
              <w:t>Foundation</w:t>
            </w:r>
          </w:p>
          <w:p w14:paraId="1E53A595" w14:textId="77777777" w:rsidR="0084506E" w:rsidRDefault="0084506E" w:rsidP="00F87BBA">
            <w:pPr>
              <w:tabs>
                <w:tab w:val="left" w:pos="2410"/>
                <w:tab w:val="left" w:pos="3119"/>
              </w:tabs>
              <w:ind w:left="14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1E66A2">
              <w:rPr>
                <w:rFonts w:ascii="Arial" w:hAnsi="Arial" w:cs="Arial"/>
                <w:sz w:val="22"/>
                <w:szCs w:val="22"/>
              </w:rPr>
              <w:t>Level 4 - St Vincent's Clinic</w:t>
            </w:r>
          </w:p>
          <w:p w14:paraId="0A040220" w14:textId="77777777" w:rsidR="0084506E" w:rsidRPr="001E66A2" w:rsidRDefault="0084506E" w:rsidP="00F87BBA">
            <w:pPr>
              <w:tabs>
                <w:tab w:val="left" w:pos="2410"/>
                <w:tab w:val="left" w:pos="3119"/>
              </w:tabs>
              <w:ind w:left="14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263762">
              <w:rPr>
                <w:rFonts w:ascii="Arial" w:hAnsi="Arial" w:cs="Arial"/>
                <w:sz w:val="22"/>
                <w:szCs w:val="22"/>
              </w:rPr>
              <w:t>438 Victoria Street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63762">
              <w:rPr>
                <w:rFonts w:ascii="Arial" w:hAnsi="Arial" w:cs="Arial"/>
                <w:sz w:val="22"/>
                <w:szCs w:val="22"/>
              </w:rPr>
              <w:t>Darlinghurst  NSW  2010</w:t>
            </w:r>
          </w:p>
          <w:p w14:paraId="56D2338E" w14:textId="77777777" w:rsidR="0084506E" w:rsidRDefault="0084506E" w:rsidP="0084506E">
            <w:pPr>
              <w:numPr>
                <w:ilvl w:val="0"/>
                <w:numId w:val="4"/>
              </w:numPr>
              <w:tabs>
                <w:tab w:val="clear" w:pos="720"/>
                <w:tab w:val="num" w:pos="363"/>
              </w:tabs>
              <w:spacing w:before="120" w:after="120"/>
              <w:ind w:left="363"/>
              <w:rPr>
                <w:rFonts w:ascii="Arial" w:hAnsi="Arial" w:cs="Arial"/>
                <w:sz w:val="22"/>
                <w:szCs w:val="22"/>
              </w:rPr>
            </w:pPr>
            <w:r w:rsidRPr="00263762">
              <w:rPr>
                <w:rFonts w:ascii="Arial" w:hAnsi="Arial" w:cs="Arial"/>
                <w:b/>
                <w:sz w:val="22"/>
                <w:szCs w:val="22"/>
              </w:rPr>
              <w:t>1 x electronic copy</w:t>
            </w:r>
            <w:r w:rsidRPr="00263762">
              <w:rPr>
                <w:rFonts w:ascii="Arial" w:hAnsi="Arial" w:cs="Arial"/>
                <w:sz w:val="22"/>
                <w:szCs w:val="22"/>
              </w:rPr>
              <w:t xml:space="preserve"> of the Application in MS Word OR Adobe format</w:t>
            </w:r>
          </w:p>
          <w:p w14:paraId="5910B5B0" w14:textId="77777777" w:rsidR="0084506E" w:rsidRPr="00FA3718" w:rsidRDefault="0084506E" w:rsidP="0084506E">
            <w:pPr>
              <w:numPr>
                <w:ilvl w:val="1"/>
                <w:numId w:val="4"/>
              </w:numPr>
              <w:tabs>
                <w:tab w:val="clear" w:pos="1440"/>
                <w:tab w:val="num" w:pos="363"/>
                <w:tab w:val="num" w:pos="1134"/>
                <w:tab w:val="left" w:pos="2410"/>
                <w:tab w:val="left" w:pos="3119"/>
              </w:tabs>
              <w:spacing w:before="120" w:after="120"/>
              <w:ind w:hanging="58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263762">
              <w:rPr>
                <w:rFonts w:ascii="Arial" w:hAnsi="Arial" w:cs="Arial"/>
                <w:sz w:val="22"/>
                <w:szCs w:val="22"/>
              </w:rPr>
              <w:t>mail to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hyperlink r:id="rId12" w:history="1">
              <w:r w:rsidRPr="007E0795">
                <w:rPr>
                  <w:rStyle w:val="Hyperlink"/>
                  <w:rFonts w:ascii="Arial" w:hAnsi="Arial" w:cs="Arial"/>
                  <w:sz w:val="22"/>
                  <w:szCs w:val="22"/>
                </w:rPr>
                <w:t>svcresearchfoundation@svha.org.au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63762">
              <w:rPr>
                <w:rFonts w:ascii="Arial" w:hAnsi="Arial" w:cs="Arial"/>
                <w:sz w:val="22"/>
                <w:szCs w:val="22"/>
              </w:rPr>
              <w:t xml:space="preserve">(as </w:t>
            </w:r>
            <w:r w:rsidRPr="00263762">
              <w:rPr>
                <w:rFonts w:ascii="Arial" w:hAnsi="Arial" w:cs="Arial"/>
                <w:bCs/>
                <w:sz w:val="22"/>
                <w:szCs w:val="22"/>
              </w:rPr>
              <w:t>one document)</w:t>
            </w:r>
          </w:p>
          <w:p w14:paraId="7116F860" w14:textId="77777777" w:rsidR="0084506E" w:rsidRPr="00FA3718" w:rsidRDefault="0084506E" w:rsidP="00F87BB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FA3718">
              <w:rPr>
                <w:rFonts w:ascii="Arial" w:hAnsi="Arial" w:cs="Arial"/>
                <w:b/>
                <w:sz w:val="22"/>
                <w:szCs w:val="22"/>
              </w:rPr>
              <w:t xml:space="preserve">Deadline: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Submit </w:t>
            </w:r>
            <w:r w:rsidRPr="00263762">
              <w:rPr>
                <w:rFonts w:ascii="Arial" w:hAnsi="Arial" w:cs="Arial"/>
                <w:b/>
                <w:sz w:val="22"/>
                <w:szCs w:val="22"/>
              </w:rPr>
              <w:t xml:space="preserve">by 2.00 pm Tuesday, </w:t>
            </w:r>
            <w:r>
              <w:rPr>
                <w:rFonts w:ascii="Arial" w:hAnsi="Arial" w:cs="Arial"/>
                <w:b/>
                <w:sz w:val="22"/>
                <w:szCs w:val="22"/>
              </w:rPr>
              <w:t>24</w:t>
            </w:r>
            <w:r w:rsidRPr="00263762">
              <w:rPr>
                <w:rFonts w:ascii="Arial" w:hAnsi="Arial" w:cs="Arial"/>
                <w:b/>
                <w:sz w:val="22"/>
                <w:szCs w:val="22"/>
              </w:rPr>
              <w:t xml:space="preserve"> June 202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2637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63762">
              <w:rPr>
                <w:rFonts w:ascii="Arial" w:hAnsi="Arial" w:cs="Arial"/>
                <w:sz w:val="22"/>
                <w:szCs w:val="22"/>
              </w:rPr>
              <w:t>(late applications may not be accepted)</w:t>
            </w:r>
          </w:p>
        </w:tc>
      </w:tr>
    </w:tbl>
    <w:p w14:paraId="7E94696D" w14:textId="77777777" w:rsidR="00625B1F" w:rsidRDefault="00625B1F" w:rsidP="00CF04C7">
      <w:pPr>
        <w:spacing w:after="0" w:line="240" w:lineRule="auto"/>
        <w:rPr>
          <w:rFonts w:ascii="Arial" w:hAnsi="Arial" w:cs="Arial"/>
        </w:rPr>
      </w:pPr>
    </w:p>
    <w:p w14:paraId="1E9D7B7A" w14:textId="1A188EE9" w:rsidR="003936CB" w:rsidRDefault="003936CB" w:rsidP="00CF04C7">
      <w:pPr>
        <w:spacing w:after="0" w:line="240" w:lineRule="auto"/>
        <w:rPr>
          <w:rFonts w:ascii="Arial" w:hAnsi="Arial" w:cs="Arial"/>
        </w:rPr>
      </w:pPr>
      <w:r w:rsidRPr="00CF04C7">
        <w:rPr>
          <w:rFonts w:ascii="Arial" w:hAnsi="Arial" w:cs="Arial"/>
        </w:rPr>
        <w:t>Applications are invited for Translational Research Grants offered by St Vincent’s Centre for Applied Medical Research. St Vincent’s Hospital is recognised as one of Australia’s leading technologically advanced teaching hospitals</w:t>
      </w:r>
      <w:r w:rsidR="00BA6348">
        <w:rPr>
          <w:rFonts w:ascii="Arial" w:hAnsi="Arial" w:cs="Arial"/>
        </w:rPr>
        <w:t>,</w:t>
      </w:r>
      <w:r w:rsidRPr="00CF04C7">
        <w:rPr>
          <w:rFonts w:ascii="Arial" w:hAnsi="Arial" w:cs="Arial"/>
        </w:rPr>
        <w:t xml:space="preserve"> providing healthcare </w:t>
      </w:r>
      <w:r w:rsidR="00E35370" w:rsidRPr="00CF04C7">
        <w:rPr>
          <w:rFonts w:ascii="Arial" w:hAnsi="Arial" w:cs="Arial"/>
        </w:rPr>
        <w:t xml:space="preserve">informed by medical </w:t>
      </w:r>
      <w:r w:rsidR="00452943" w:rsidRPr="00CF04C7">
        <w:rPr>
          <w:rFonts w:ascii="Arial" w:hAnsi="Arial" w:cs="Arial"/>
        </w:rPr>
        <w:t xml:space="preserve">and health </w:t>
      </w:r>
      <w:r w:rsidR="00E35370" w:rsidRPr="00CF04C7">
        <w:rPr>
          <w:rFonts w:ascii="Arial" w:hAnsi="Arial" w:cs="Arial"/>
        </w:rPr>
        <w:t>research</w:t>
      </w:r>
      <w:r w:rsidR="00D86A7F" w:rsidRPr="00CF04C7">
        <w:rPr>
          <w:rFonts w:ascii="Arial" w:hAnsi="Arial" w:cs="Arial"/>
        </w:rPr>
        <w:t>.</w:t>
      </w:r>
    </w:p>
    <w:p w14:paraId="1A96BAFC" w14:textId="77777777" w:rsidR="00CF04C7" w:rsidRPr="00CF04C7" w:rsidRDefault="00CF04C7" w:rsidP="00CF04C7">
      <w:pPr>
        <w:spacing w:after="0" w:line="240" w:lineRule="auto"/>
        <w:rPr>
          <w:rFonts w:ascii="Arial" w:hAnsi="Arial" w:cs="Arial"/>
        </w:rPr>
      </w:pPr>
    </w:p>
    <w:p w14:paraId="239009D9" w14:textId="3AD768DE" w:rsidR="003936CB" w:rsidRDefault="003936CB" w:rsidP="00CF04C7">
      <w:pPr>
        <w:spacing w:after="0" w:line="240" w:lineRule="auto"/>
        <w:rPr>
          <w:rFonts w:ascii="Arial" w:hAnsi="Arial" w:cs="Arial"/>
        </w:rPr>
      </w:pPr>
      <w:r w:rsidRPr="00CF04C7">
        <w:rPr>
          <w:rFonts w:ascii="Arial" w:hAnsi="Arial" w:cs="Arial"/>
        </w:rPr>
        <w:t xml:space="preserve">The </w:t>
      </w:r>
      <w:r w:rsidR="00BA6348">
        <w:rPr>
          <w:rFonts w:ascii="Arial" w:hAnsi="Arial" w:cs="Arial"/>
        </w:rPr>
        <w:t>grants aim</w:t>
      </w:r>
      <w:r w:rsidRPr="00CF04C7">
        <w:rPr>
          <w:rFonts w:ascii="Arial" w:hAnsi="Arial" w:cs="Arial"/>
        </w:rPr>
        <w:t xml:space="preserve"> to promote translation research, particularly in its early phase. This is envisaged to support salary</w:t>
      </w:r>
      <w:r w:rsidR="00D86A7F" w:rsidRPr="00CF04C7">
        <w:rPr>
          <w:rFonts w:ascii="Arial" w:hAnsi="Arial" w:cs="Arial"/>
        </w:rPr>
        <w:t xml:space="preserve">, equipment and research consumable costs to </w:t>
      </w:r>
      <w:r w:rsidR="00D427DA" w:rsidRPr="00CF04C7">
        <w:rPr>
          <w:rFonts w:ascii="Arial" w:hAnsi="Arial" w:cs="Arial"/>
        </w:rPr>
        <w:t xml:space="preserve">assist </w:t>
      </w:r>
      <w:r w:rsidR="00D86A7F" w:rsidRPr="00CF04C7">
        <w:rPr>
          <w:rFonts w:ascii="Arial" w:hAnsi="Arial" w:cs="Arial"/>
        </w:rPr>
        <w:t xml:space="preserve">early stage healthcare researchers to participate directly in research projects as a component of their professional career. These grants are intended for early stage researchers to mobilise a translational research project to publication with a view to </w:t>
      </w:r>
      <w:r w:rsidR="0066270E" w:rsidRPr="00CF04C7">
        <w:rPr>
          <w:rFonts w:ascii="Arial" w:hAnsi="Arial" w:cs="Arial"/>
        </w:rPr>
        <w:t>attract</w:t>
      </w:r>
      <w:r w:rsidR="003A0901" w:rsidRPr="00CF04C7">
        <w:rPr>
          <w:rFonts w:ascii="Arial" w:hAnsi="Arial" w:cs="Arial"/>
        </w:rPr>
        <w:t>ing</w:t>
      </w:r>
      <w:r w:rsidR="0066270E" w:rsidRPr="00CF04C7">
        <w:rPr>
          <w:rFonts w:ascii="Arial" w:hAnsi="Arial" w:cs="Arial"/>
        </w:rPr>
        <w:t xml:space="preserve"> further funding from other peer reviewed grant agencies (e</w:t>
      </w:r>
      <w:r w:rsidR="00452943" w:rsidRPr="00CF04C7">
        <w:rPr>
          <w:rFonts w:ascii="Arial" w:hAnsi="Arial" w:cs="Arial"/>
        </w:rPr>
        <w:t>.</w:t>
      </w:r>
      <w:r w:rsidR="0066270E" w:rsidRPr="00CF04C7">
        <w:rPr>
          <w:rFonts w:ascii="Arial" w:hAnsi="Arial" w:cs="Arial"/>
        </w:rPr>
        <w:t xml:space="preserve">g. </w:t>
      </w:r>
      <w:r w:rsidR="00C2496C">
        <w:rPr>
          <w:rFonts w:ascii="Arial" w:hAnsi="Arial" w:cs="Arial"/>
        </w:rPr>
        <w:t xml:space="preserve">MRFF, </w:t>
      </w:r>
      <w:r w:rsidR="0066270E" w:rsidRPr="00CF04C7">
        <w:rPr>
          <w:rFonts w:ascii="Arial" w:hAnsi="Arial" w:cs="Arial"/>
        </w:rPr>
        <w:t>NHMRC</w:t>
      </w:r>
      <w:r w:rsidR="00452943" w:rsidRPr="00CF04C7">
        <w:rPr>
          <w:rFonts w:ascii="Arial" w:hAnsi="Arial" w:cs="Arial"/>
        </w:rPr>
        <w:t>, non-government organisations</w:t>
      </w:r>
      <w:r w:rsidR="0066270E" w:rsidRPr="00CF04C7">
        <w:rPr>
          <w:rFonts w:ascii="Arial" w:hAnsi="Arial" w:cs="Arial"/>
        </w:rPr>
        <w:t>)</w:t>
      </w:r>
      <w:r w:rsidR="00452943" w:rsidRPr="00CF04C7">
        <w:rPr>
          <w:rFonts w:ascii="Arial" w:hAnsi="Arial" w:cs="Arial"/>
        </w:rPr>
        <w:t>.</w:t>
      </w:r>
    </w:p>
    <w:p w14:paraId="527D30B8" w14:textId="214C3560" w:rsidR="003C682A" w:rsidRDefault="00D86A7F" w:rsidP="00CF04C7">
      <w:pPr>
        <w:spacing w:after="0" w:line="240" w:lineRule="auto"/>
        <w:rPr>
          <w:rFonts w:ascii="Arial" w:hAnsi="Arial" w:cs="Arial"/>
        </w:rPr>
      </w:pPr>
      <w:r w:rsidRPr="00CF04C7">
        <w:rPr>
          <w:rFonts w:ascii="Arial" w:hAnsi="Arial" w:cs="Arial"/>
        </w:rPr>
        <w:t>Th</w:t>
      </w:r>
      <w:r w:rsidR="00BA6348">
        <w:rPr>
          <w:rFonts w:ascii="Arial" w:hAnsi="Arial" w:cs="Arial"/>
        </w:rPr>
        <w:t>ree grants are intended to seed fund projects with</w:t>
      </w:r>
      <w:r w:rsidRPr="00CF04C7">
        <w:rPr>
          <w:rFonts w:ascii="Arial" w:hAnsi="Arial" w:cs="Arial"/>
        </w:rPr>
        <w:t xml:space="preserve"> a clear project trajectory to improve clinical practice. </w:t>
      </w:r>
    </w:p>
    <w:p w14:paraId="5E4A1E5E" w14:textId="77777777" w:rsidR="003C682A" w:rsidRDefault="003C682A" w:rsidP="00CF04C7">
      <w:pPr>
        <w:spacing w:after="0" w:line="240" w:lineRule="auto"/>
        <w:rPr>
          <w:rFonts w:ascii="Arial" w:hAnsi="Arial" w:cs="Arial"/>
        </w:rPr>
      </w:pPr>
    </w:p>
    <w:p w14:paraId="292BF075" w14:textId="0534F7AD" w:rsidR="003C682A" w:rsidRDefault="00D86A7F" w:rsidP="00CF04C7">
      <w:pPr>
        <w:spacing w:after="0" w:line="240" w:lineRule="auto"/>
        <w:rPr>
          <w:rFonts w:ascii="Arial" w:hAnsi="Arial" w:cs="Arial"/>
          <w:b/>
        </w:rPr>
      </w:pPr>
      <w:r w:rsidRPr="00C2496C">
        <w:rPr>
          <w:rFonts w:ascii="Arial" w:hAnsi="Arial" w:cs="Arial"/>
          <w:b/>
        </w:rPr>
        <w:t>There will be</w:t>
      </w:r>
      <w:r w:rsidR="00890FF6">
        <w:rPr>
          <w:rFonts w:ascii="Arial" w:hAnsi="Arial" w:cs="Arial"/>
          <w:b/>
        </w:rPr>
        <w:t>:</w:t>
      </w:r>
    </w:p>
    <w:p w14:paraId="5C0E510F" w14:textId="77777777" w:rsidR="00663F39" w:rsidRDefault="00663F39" w:rsidP="00CF04C7">
      <w:pPr>
        <w:spacing w:after="0" w:line="240" w:lineRule="auto"/>
        <w:rPr>
          <w:rFonts w:ascii="Arial" w:hAnsi="Arial" w:cs="Arial"/>
          <w:b/>
        </w:rPr>
      </w:pPr>
    </w:p>
    <w:p w14:paraId="01F18495" w14:textId="6ABE7CBB" w:rsidR="003C682A" w:rsidRPr="003C682A" w:rsidRDefault="00890FF6" w:rsidP="003C682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One (1) </w:t>
      </w:r>
      <w:r w:rsidR="00D86A7F" w:rsidRPr="003C682A">
        <w:rPr>
          <w:rFonts w:ascii="Arial" w:hAnsi="Arial" w:cs="Arial"/>
          <w:b/>
        </w:rPr>
        <w:t xml:space="preserve">major </w:t>
      </w:r>
      <w:r w:rsidR="003C682A" w:rsidRPr="003C682A">
        <w:rPr>
          <w:rFonts w:ascii="Arial" w:hAnsi="Arial" w:cs="Arial"/>
          <w:b/>
        </w:rPr>
        <w:t>project</w:t>
      </w:r>
      <w:r w:rsidR="003C682A">
        <w:rPr>
          <w:rFonts w:ascii="Arial" w:hAnsi="Arial" w:cs="Arial"/>
          <w:b/>
        </w:rPr>
        <w:t xml:space="preserve"> seed funding</w:t>
      </w:r>
      <w:r w:rsidR="003C682A" w:rsidRPr="003C682A">
        <w:rPr>
          <w:rFonts w:ascii="Arial" w:hAnsi="Arial" w:cs="Arial"/>
          <w:b/>
        </w:rPr>
        <w:t xml:space="preserve"> </w:t>
      </w:r>
      <w:r w:rsidR="00D86A7F" w:rsidRPr="003C682A">
        <w:rPr>
          <w:rFonts w:ascii="Arial" w:hAnsi="Arial" w:cs="Arial"/>
          <w:b/>
        </w:rPr>
        <w:t>grant ($50,000) and two</w:t>
      </w:r>
      <w:r>
        <w:rPr>
          <w:rFonts w:ascii="Arial" w:hAnsi="Arial" w:cs="Arial"/>
          <w:b/>
        </w:rPr>
        <w:t xml:space="preserve"> (2)</w:t>
      </w:r>
      <w:r w:rsidR="00D86A7F" w:rsidRPr="003C682A">
        <w:rPr>
          <w:rFonts w:ascii="Arial" w:hAnsi="Arial" w:cs="Arial"/>
          <w:b/>
        </w:rPr>
        <w:t xml:space="preserve"> additional grants ($</w:t>
      </w:r>
      <w:r w:rsidR="00C2496C" w:rsidRPr="003C682A">
        <w:rPr>
          <w:rFonts w:ascii="Arial" w:hAnsi="Arial" w:cs="Arial"/>
          <w:b/>
        </w:rPr>
        <w:t>30</w:t>
      </w:r>
      <w:r w:rsidR="00D86A7F" w:rsidRPr="003C682A">
        <w:rPr>
          <w:rFonts w:ascii="Arial" w:hAnsi="Arial" w:cs="Arial"/>
          <w:b/>
        </w:rPr>
        <w:t>,000) per annum.</w:t>
      </w:r>
      <w:r w:rsidR="003A0901" w:rsidRPr="003C682A">
        <w:rPr>
          <w:rFonts w:ascii="Arial" w:hAnsi="Arial" w:cs="Arial"/>
          <w:b/>
        </w:rPr>
        <w:t xml:space="preserve"> </w:t>
      </w:r>
    </w:p>
    <w:p w14:paraId="2A17E8E5" w14:textId="6ABF552B" w:rsidR="00DF64A8" w:rsidRPr="00DF64A8" w:rsidRDefault="003C682A" w:rsidP="00DF64A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Small equipment grants – two (2) grants at $</w:t>
      </w:r>
      <w:r w:rsidR="00DF64A8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K each </w:t>
      </w:r>
    </w:p>
    <w:p w14:paraId="4933335A" w14:textId="4F80AD6A" w:rsidR="00DF64A8" w:rsidRPr="00DF64A8" w:rsidRDefault="00DF64A8" w:rsidP="00DF64A8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Clinician Buyback Grants – quarantined time two(2) grants at $50K each</w:t>
      </w:r>
    </w:p>
    <w:p w14:paraId="74C4DD05" w14:textId="77777777" w:rsidR="00663F39" w:rsidRDefault="00663F39" w:rsidP="00663F39">
      <w:pPr>
        <w:spacing w:after="0" w:line="240" w:lineRule="auto"/>
        <w:rPr>
          <w:rFonts w:ascii="Arial" w:hAnsi="Arial" w:cs="Arial"/>
        </w:rPr>
      </w:pPr>
    </w:p>
    <w:p w14:paraId="67D69B6D" w14:textId="0050F064" w:rsidR="0001580C" w:rsidRPr="00890FF6" w:rsidRDefault="00DF64A8" w:rsidP="00663F39">
      <w:pPr>
        <w:spacing w:after="0" w:line="240" w:lineRule="auto"/>
        <w:rPr>
          <w:rFonts w:ascii="Arial" w:hAnsi="Arial" w:cs="Arial"/>
        </w:rPr>
      </w:pPr>
      <w:r w:rsidRPr="00890FF6">
        <w:rPr>
          <w:rFonts w:ascii="Arial" w:hAnsi="Arial" w:cs="Arial"/>
        </w:rPr>
        <w:t xml:space="preserve">NB: </w:t>
      </w:r>
      <w:r w:rsidR="003A0901" w:rsidRPr="00890FF6">
        <w:rPr>
          <w:rFonts w:ascii="Arial" w:hAnsi="Arial" w:cs="Arial"/>
        </w:rPr>
        <w:t xml:space="preserve">Each Grant is for </w:t>
      </w:r>
      <w:r w:rsidR="00BA6348">
        <w:rPr>
          <w:rFonts w:ascii="Arial" w:hAnsi="Arial" w:cs="Arial"/>
        </w:rPr>
        <w:t xml:space="preserve">a </w:t>
      </w:r>
      <w:r w:rsidR="003A0901" w:rsidRPr="00890FF6">
        <w:rPr>
          <w:rFonts w:ascii="Arial" w:hAnsi="Arial" w:cs="Arial"/>
        </w:rPr>
        <w:t>one</w:t>
      </w:r>
      <w:r w:rsidR="00BA6348">
        <w:rPr>
          <w:rFonts w:ascii="Arial" w:hAnsi="Arial" w:cs="Arial"/>
        </w:rPr>
        <w:t>-</w:t>
      </w:r>
      <w:r w:rsidR="003A0901" w:rsidRPr="00890FF6">
        <w:rPr>
          <w:rFonts w:ascii="Arial" w:hAnsi="Arial" w:cs="Arial"/>
        </w:rPr>
        <w:t>year duration.</w:t>
      </w:r>
      <w:r w:rsidR="0099170B" w:rsidRPr="00890FF6">
        <w:rPr>
          <w:rFonts w:ascii="Arial" w:hAnsi="Arial" w:cs="Arial"/>
        </w:rPr>
        <w:t xml:space="preserve"> </w:t>
      </w:r>
    </w:p>
    <w:p w14:paraId="193657A8" w14:textId="77777777" w:rsidR="00CF04C7" w:rsidRPr="00CF04C7" w:rsidRDefault="00CF04C7" w:rsidP="00CF04C7">
      <w:pPr>
        <w:spacing w:after="0" w:line="240" w:lineRule="auto"/>
        <w:rPr>
          <w:rFonts w:ascii="Arial" w:hAnsi="Arial" w:cs="Arial"/>
        </w:rPr>
      </w:pPr>
    </w:p>
    <w:p w14:paraId="54CD97AE" w14:textId="77777777" w:rsidR="00D86A7F" w:rsidRDefault="00D86A7F" w:rsidP="004C0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8A54" w:themeFill="background2" w:themeFillShade="80"/>
        <w:spacing w:after="0" w:line="240" w:lineRule="auto"/>
        <w:rPr>
          <w:rFonts w:ascii="Arial" w:hAnsi="Arial" w:cs="Arial"/>
          <w:b/>
        </w:rPr>
      </w:pPr>
      <w:r w:rsidRPr="00CF04C7">
        <w:rPr>
          <w:rFonts w:ascii="Arial" w:hAnsi="Arial" w:cs="Arial"/>
          <w:b/>
        </w:rPr>
        <w:t xml:space="preserve">Selection </w:t>
      </w:r>
      <w:r w:rsidR="00B53D9B">
        <w:rPr>
          <w:rFonts w:ascii="Arial" w:hAnsi="Arial" w:cs="Arial"/>
          <w:b/>
        </w:rPr>
        <w:t>C</w:t>
      </w:r>
      <w:r w:rsidRPr="00CF04C7">
        <w:rPr>
          <w:rFonts w:ascii="Arial" w:hAnsi="Arial" w:cs="Arial"/>
          <w:b/>
        </w:rPr>
        <w:t>riteria:</w:t>
      </w:r>
    </w:p>
    <w:p w14:paraId="6E40CB45" w14:textId="77777777" w:rsidR="00CF04C7" w:rsidRPr="00CF04C7" w:rsidRDefault="00CF04C7" w:rsidP="00CF04C7">
      <w:pPr>
        <w:spacing w:after="0" w:line="240" w:lineRule="auto"/>
        <w:rPr>
          <w:rFonts w:ascii="Arial" w:hAnsi="Arial" w:cs="Arial"/>
          <w:b/>
        </w:rPr>
      </w:pPr>
    </w:p>
    <w:p w14:paraId="46C306D5" w14:textId="77777777" w:rsidR="00AE2F37" w:rsidRPr="00CF04C7" w:rsidRDefault="00D86A7F" w:rsidP="00CF04C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F04C7">
        <w:rPr>
          <w:rFonts w:ascii="Arial" w:hAnsi="Arial" w:cs="Arial"/>
        </w:rPr>
        <w:t>Quality of academic and research track record</w:t>
      </w:r>
      <w:r w:rsidR="004B67BB" w:rsidRPr="00CF04C7">
        <w:rPr>
          <w:rFonts w:ascii="Arial" w:hAnsi="Arial" w:cs="Arial"/>
        </w:rPr>
        <w:t xml:space="preserve"> or evidence of research development such as enrolment in </w:t>
      </w:r>
      <w:r w:rsidR="000234BE" w:rsidRPr="00CF04C7">
        <w:rPr>
          <w:rFonts w:ascii="Arial" w:hAnsi="Arial" w:cs="Arial"/>
        </w:rPr>
        <w:t xml:space="preserve">a </w:t>
      </w:r>
      <w:r w:rsidR="004B67BB" w:rsidRPr="00CF04C7">
        <w:rPr>
          <w:rFonts w:ascii="Arial" w:hAnsi="Arial" w:cs="Arial"/>
        </w:rPr>
        <w:t xml:space="preserve">higher degree in research </w:t>
      </w:r>
      <w:r w:rsidRPr="00CF04C7">
        <w:rPr>
          <w:rFonts w:ascii="Arial" w:hAnsi="Arial" w:cs="Arial"/>
        </w:rPr>
        <w:t>of</w:t>
      </w:r>
      <w:r w:rsidR="004B67BB" w:rsidRPr="00CF04C7">
        <w:rPr>
          <w:rFonts w:ascii="Arial" w:hAnsi="Arial" w:cs="Arial"/>
        </w:rPr>
        <w:t xml:space="preserve"> the</w:t>
      </w:r>
      <w:r w:rsidRPr="00CF04C7">
        <w:rPr>
          <w:rFonts w:ascii="Arial" w:hAnsi="Arial" w:cs="Arial"/>
        </w:rPr>
        <w:t xml:space="preserve"> investigator</w:t>
      </w:r>
      <w:r w:rsidR="00E35370" w:rsidRPr="00CF04C7">
        <w:rPr>
          <w:rFonts w:ascii="Arial" w:hAnsi="Arial" w:cs="Arial"/>
        </w:rPr>
        <w:t>.</w:t>
      </w:r>
      <w:r w:rsidR="00A73CDF" w:rsidRPr="00CF04C7">
        <w:rPr>
          <w:rFonts w:ascii="Arial" w:hAnsi="Arial" w:cs="Arial"/>
        </w:rPr>
        <w:t xml:space="preserve"> </w:t>
      </w:r>
    </w:p>
    <w:p w14:paraId="42EA0174" w14:textId="7906434E" w:rsidR="00D86A7F" w:rsidRPr="00CF04C7" w:rsidRDefault="00D86A7F" w:rsidP="00CF04C7">
      <w:pPr>
        <w:pStyle w:val="ListParagraph"/>
        <w:numPr>
          <w:ilvl w:val="0"/>
          <w:numId w:val="1"/>
        </w:numPr>
        <w:spacing w:before="80" w:after="0" w:line="240" w:lineRule="auto"/>
        <w:ind w:left="357" w:hanging="357"/>
        <w:contextualSpacing w:val="0"/>
        <w:rPr>
          <w:rFonts w:ascii="Arial" w:hAnsi="Arial" w:cs="Arial"/>
        </w:rPr>
      </w:pPr>
      <w:r w:rsidRPr="00CF04C7">
        <w:rPr>
          <w:rFonts w:ascii="Arial" w:hAnsi="Arial" w:cs="Arial"/>
        </w:rPr>
        <w:t>Evidence of collaborative input from associate investigators in various stages of translational research</w:t>
      </w:r>
      <w:r w:rsidR="00BA6348">
        <w:rPr>
          <w:rFonts w:ascii="Arial" w:hAnsi="Arial" w:cs="Arial"/>
        </w:rPr>
        <w:t>,</w:t>
      </w:r>
      <w:r w:rsidRPr="00CF04C7">
        <w:rPr>
          <w:rFonts w:ascii="Arial" w:hAnsi="Arial" w:cs="Arial"/>
        </w:rPr>
        <w:t xml:space="preserve"> including basic discovery, proof of concept and clinical aims for </w:t>
      </w:r>
      <w:r w:rsidRPr="00CF04C7">
        <w:rPr>
          <w:rFonts w:ascii="Arial" w:hAnsi="Arial" w:cs="Arial"/>
        </w:rPr>
        <w:lastRenderedPageBreak/>
        <w:t>translation to improve healthcare practice.</w:t>
      </w:r>
      <w:r w:rsidR="0066270E" w:rsidRPr="00CF04C7">
        <w:rPr>
          <w:rFonts w:ascii="Arial" w:hAnsi="Arial" w:cs="Arial"/>
        </w:rPr>
        <w:t xml:space="preserve"> Project collaborators may be from external institutions but preference will be given to research projects with collaborators from across the St Vincent’s Research Precinct</w:t>
      </w:r>
      <w:r w:rsidR="00BA6348">
        <w:rPr>
          <w:rFonts w:ascii="Arial" w:hAnsi="Arial" w:cs="Arial"/>
        </w:rPr>
        <w:t>,</w:t>
      </w:r>
      <w:r w:rsidR="0066270E" w:rsidRPr="00CF04C7">
        <w:rPr>
          <w:rFonts w:ascii="Arial" w:hAnsi="Arial" w:cs="Arial"/>
        </w:rPr>
        <w:t xml:space="preserve"> including but not limited to Garvan Institute, Victor Chang Cardiac Research Institute, Kirby Institute for Infection and I</w:t>
      </w:r>
      <w:r w:rsidR="00E35370" w:rsidRPr="00CF04C7">
        <w:rPr>
          <w:rFonts w:ascii="Arial" w:hAnsi="Arial" w:cs="Arial"/>
        </w:rPr>
        <w:t>mmunity,</w:t>
      </w:r>
      <w:r w:rsidR="004B67BB" w:rsidRPr="00CF04C7">
        <w:rPr>
          <w:rFonts w:ascii="Arial" w:hAnsi="Arial" w:cs="Arial"/>
        </w:rPr>
        <w:t xml:space="preserve"> Kinghorn Cancer Centre,</w:t>
      </w:r>
      <w:r w:rsidR="00E35370" w:rsidRPr="00CF04C7">
        <w:rPr>
          <w:rFonts w:ascii="Arial" w:hAnsi="Arial" w:cs="Arial"/>
        </w:rPr>
        <w:t xml:space="preserve"> Nursing Research </w:t>
      </w:r>
      <w:r w:rsidR="00452943" w:rsidRPr="00CF04C7">
        <w:rPr>
          <w:rFonts w:ascii="Arial" w:hAnsi="Arial" w:cs="Arial"/>
        </w:rPr>
        <w:t>Institute</w:t>
      </w:r>
      <w:r w:rsidR="00391FCE" w:rsidRPr="00CF04C7">
        <w:rPr>
          <w:rFonts w:ascii="Arial" w:hAnsi="Arial" w:cs="Arial"/>
        </w:rPr>
        <w:t xml:space="preserve"> and Allied Health Research Unit</w:t>
      </w:r>
      <w:r w:rsidR="00E35370" w:rsidRPr="00CF04C7">
        <w:rPr>
          <w:rFonts w:ascii="Arial" w:hAnsi="Arial" w:cs="Arial"/>
        </w:rPr>
        <w:t xml:space="preserve">. </w:t>
      </w:r>
    </w:p>
    <w:p w14:paraId="2646A472" w14:textId="0D1934EF" w:rsidR="00B53D9B" w:rsidRDefault="001340D6" w:rsidP="00CF04C7">
      <w:pPr>
        <w:pStyle w:val="ListParagraph"/>
        <w:numPr>
          <w:ilvl w:val="0"/>
          <w:numId w:val="1"/>
        </w:numPr>
        <w:spacing w:before="80" w:after="0" w:line="240" w:lineRule="auto"/>
        <w:ind w:left="357" w:hanging="357"/>
        <w:contextualSpacing w:val="0"/>
        <w:rPr>
          <w:rFonts w:ascii="Arial" w:hAnsi="Arial" w:cs="Arial"/>
        </w:rPr>
      </w:pPr>
      <w:r w:rsidRPr="00CF04C7">
        <w:rPr>
          <w:rFonts w:ascii="Arial" w:hAnsi="Arial" w:cs="Arial"/>
        </w:rPr>
        <w:t xml:space="preserve">Quality of </w:t>
      </w:r>
      <w:r w:rsidR="00BA6348">
        <w:rPr>
          <w:rFonts w:ascii="Arial" w:hAnsi="Arial" w:cs="Arial"/>
        </w:rPr>
        <w:t xml:space="preserve">the </w:t>
      </w:r>
      <w:r w:rsidRPr="00CF04C7">
        <w:rPr>
          <w:rFonts w:ascii="Arial" w:hAnsi="Arial" w:cs="Arial"/>
        </w:rPr>
        <w:t>project</w:t>
      </w:r>
      <w:r w:rsidR="00437FC7" w:rsidRPr="00CF04C7">
        <w:rPr>
          <w:rFonts w:ascii="Arial" w:hAnsi="Arial" w:cs="Arial"/>
        </w:rPr>
        <w:t xml:space="preserve"> and </w:t>
      </w:r>
      <w:r w:rsidR="00391FCE" w:rsidRPr="00CF04C7">
        <w:rPr>
          <w:rFonts w:ascii="Arial" w:hAnsi="Arial" w:cs="Arial"/>
        </w:rPr>
        <w:t>how the research is expec</w:t>
      </w:r>
      <w:r w:rsidR="00B53D9B">
        <w:rPr>
          <w:rFonts w:ascii="Arial" w:hAnsi="Arial" w:cs="Arial"/>
        </w:rPr>
        <w:t>ted to impact clinical practice.</w:t>
      </w:r>
    </w:p>
    <w:p w14:paraId="7F1F7311" w14:textId="1153547C" w:rsidR="009538C2" w:rsidRDefault="00391FCE" w:rsidP="00740671">
      <w:pPr>
        <w:pStyle w:val="ListParagraph"/>
        <w:numPr>
          <w:ilvl w:val="0"/>
          <w:numId w:val="1"/>
        </w:numPr>
        <w:spacing w:before="80" w:after="0" w:line="240" w:lineRule="auto"/>
        <w:ind w:left="357" w:hanging="357"/>
        <w:contextualSpacing w:val="0"/>
        <w:rPr>
          <w:rFonts w:ascii="Arial" w:hAnsi="Arial" w:cs="Arial"/>
        </w:rPr>
      </w:pPr>
      <w:r w:rsidRPr="00B53D9B">
        <w:rPr>
          <w:rFonts w:ascii="Arial" w:hAnsi="Arial" w:cs="Arial"/>
        </w:rPr>
        <w:t>F</w:t>
      </w:r>
      <w:r w:rsidR="001340D6" w:rsidRPr="00B53D9B">
        <w:rPr>
          <w:rFonts w:ascii="Arial" w:hAnsi="Arial" w:cs="Arial"/>
        </w:rPr>
        <w:t>easibility to conduct in 12 months</w:t>
      </w:r>
      <w:r w:rsidR="005D3A9E" w:rsidRPr="00B53D9B">
        <w:rPr>
          <w:rFonts w:ascii="Arial" w:hAnsi="Arial" w:cs="Arial"/>
        </w:rPr>
        <w:t xml:space="preserve"> </w:t>
      </w:r>
      <w:r w:rsidR="005525BA" w:rsidRPr="00B53D9B">
        <w:rPr>
          <w:rFonts w:ascii="Arial" w:hAnsi="Arial" w:cs="Arial"/>
        </w:rPr>
        <w:t xml:space="preserve">– noting that extensions may be </w:t>
      </w:r>
      <w:r w:rsidR="000234BE" w:rsidRPr="00B53D9B">
        <w:rPr>
          <w:rFonts w:ascii="Arial" w:hAnsi="Arial" w:cs="Arial"/>
        </w:rPr>
        <w:t>possible</w:t>
      </w:r>
      <w:r w:rsidR="00B53D9B">
        <w:rPr>
          <w:rFonts w:ascii="Arial" w:hAnsi="Arial" w:cs="Arial"/>
        </w:rPr>
        <w:t>.</w:t>
      </w:r>
      <w:bookmarkStart w:id="0" w:name="_Toc321077378"/>
      <w:bookmarkStart w:id="1" w:name="_Toc331840948"/>
    </w:p>
    <w:p w14:paraId="1C0EA91D" w14:textId="77777777" w:rsidR="00FB283D" w:rsidRDefault="00FB283D" w:rsidP="00FB283D">
      <w:pPr>
        <w:pStyle w:val="ListParagraph"/>
        <w:spacing w:before="80" w:after="0" w:line="240" w:lineRule="auto"/>
        <w:ind w:left="357"/>
        <w:contextualSpacing w:val="0"/>
        <w:rPr>
          <w:rFonts w:ascii="Arial" w:hAnsi="Arial" w:cs="Arial"/>
        </w:rPr>
      </w:pPr>
    </w:p>
    <w:bookmarkEnd w:id="0"/>
    <w:bookmarkEnd w:id="1"/>
    <w:p w14:paraId="1A14AA90" w14:textId="77777777" w:rsidR="0066270E" w:rsidRPr="00B53D9B" w:rsidRDefault="0066270E" w:rsidP="004C0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8A54" w:themeFill="background2" w:themeFillShade="80"/>
        <w:spacing w:before="80" w:after="0" w:line="240" w:lineRule="auto"/>
        <w:rPr>
          <w:rFonts w:ascii="Arial" w:hAnsi="Arial" w:cs="Arial"/>
        </w:rPr>
      </w:pPr>
      <w:r w:rsidRPr="00B53D9B">
        <w:rPr>
          <w:rFonts w:ascii="Arial" w:hAnsi="Arial" w:cs="Arial"/>
          <w:b/>
        </w:rPr>
        <w:t>Eligibility</w:t>
      </w:r>
      <w:r w:rsidR="00B53D9B">
        <w:rPr>
          <w:rFonts w:ascii="Arial" w:hAnsi="Arial" w:cs="Arial"/>
          <w:b/>
        </w:rPr>
        <w:t>:</w:t>
      </w:r>
    </w:p>
    <w:p w14:paraId="25E0151B" w14:textId="77777777" w:rsidR="00CF04C7" w:rsidRPr="00CF04C7" w:rsidRDefault="00CF04C7" w:rsidP="00CF04C7">
      <w:pPr>
        <w:spacing w:after="0" w:line="240" w:lineRule="auto"/>
        <w:rPr>
          <w:rFonts w:ascii="Arial" w:hAnsi="Arial" w:cs="Arial"/>
          <w:b/>
        </w:rPr>
      </w:pPr>
    </w:p>
    <w:p w14:paraId="20966887" w14:textId="3CB94DF3" w:rsidR="00D86A7F" w:rsidRPr="00CF04C7" w:rsidRDefault="0066270E" w:rsidP="00CF04C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CF04C7">
        <w:rPr>
          <w:rFonts w:ascii="Arial" w:hAnsi="Arial" w:cs="Arial"/>
        </w:rPr>
        <w:t xml:space="preserve">Applicants </w:t>
      </w:r>
      <w:r w:rsidR="00CE2C48" w:rsidRPr="00C2496C">
        <w:rPr>
          <w:rFonts w:ascii="Arial" w:hAnsi="Arial" w:cs="Arial"/>
          <w:b/>
        </w:rPr>
        <w:t>must</w:t>
      </w:r>
      <w:r w:rsidR="00CE2C48" w:rsidRPr="00CF04C7">
        <w:rPr>
          <w:rFonts w:ascii="Arial" w:hAnsi="Arial" w:cs="Arial"/>
        </w:rPr>
        <w:t xml:space="preserve"> </w:t>
      </w:r>
      <w:r w:rsidRPr="00CF04C7">
        <w:rPr>
          <w:rFonts w:ascii="Arial" w:hAnsi="Arial" w:cs="Arial"/>
        </w:rPr>
        <w:t xml:space="preserve">be employees </w:t>
      </w:r>
      <w:r w:rsidR="001850B6" w:rsidRPr="00CF04C7">
        <w:rPr>
          <w:rFonts w:ascii="Arial" w:hAnsi="Arial" w:cs="Arial"/>
        </w:rPr>
        <w:t xml:space="preserve">or researchers </w:t>
      </w:r>
      <w:r w:rsidR="00C2496C">
        <w:rPr>
          <w:rFonts w:ascii="Arial" w:hAnsi="Arial" w:cs="Arial"/>
        </w:rPr>
        <w:t>with credentialed appointments at</w:t>
      </w:r>
      <w:r w:rsidR="001850B6" w:rsidRPr="00CF04C7">
        <w:rPr>
          <w:rFonts w:ascii="Arial" w:hAnsi="Arial" w:cs="Arial"/>
        </w:rPr>
        <w:t xml:space="preserve"> </w:t>
      </w:r>
      <w:r w:rsidR="00C2496C">
        <w:rPr>
          <w:rFonts w:ascii="Arial" w:hAnsi="Arial" w:cs="Arial"/>
        </w:rPr>
        <w:t xml:space="preserve">St Vincent’s Health Network </w:t>
      </w:r>
      <w:r w:rsidRPr="00CF04C7">
        <w:rPr>
          <w:rFonts w:ascii="Arial" w:hAnsi="Arial" w:cs="Arial"/>
        </w:rPr>
        <w:t>Sydney</w:t>
      </w:r>
      <w:r w:rsidR="00C2496C">
        <w:rPr>
          <w:rFonts w:ascii="Arial" w:hAnsi="Arial" w:cs="Arial"/>
        </w:rPr>
        <w:t xml:space="preserve"> (SVHNS)</w:t>
      </w:r>
    </w:p>
    <w:p w14:paraId="4534D3F7" w14:textId="5A931220" w:rsidR="00E35370" w:rsidRPr="00CF04C7" w:rsidRDefault="00E35370" w:rsidP="00CF04C7">
      <w:pPr>
        <w:pStyle w:val="ListParagraph"/>
        <w:numPr>
          <w:ilvl w:val="0"/>
          <w:numId w:val="2"/>
        </w:numPr>
        <w:spacing w:before="80" w:after="0" w:line="240" w:lineRule="auto"/>
        <w:ind w:left="357" w:hanging="357"/>
        <w:contextualSpacing w:val="0"/>
        <w:rPr>
          <w:rFonts w:ascii="Arial" w:hAnsi="Arial" w:cs="Arial"/>
        </w:rPr>
      </w:pPr>
      <w:r w:rsidRPr="00CF04C7">
        <w:rPr>
          <w:rFonts w:ascii="Arial" w:hAnsi="Arial" w:cs="Arial"/>
        </w:rPr>
        <w:t>Projects must be undertaken on the St Vincent’s Health</w:t>
      </w:r>
      <w:r w:rsidR="00905B4F" w:rsidRPr="00CF04C7">
        <w:rPr>
          <w:rFonts w:ascii="Arial" w:hAnsi="Arial" w:cs="Arial"/>
        </w:rPr>
        <w:t xml:space="preserve"> </w:t>
      </w:r>
      <w:r w:rsidR="00EF366D">
        <w:rPr>
          <w:rFonts w:ascii="Arial" w:hAnsi="Arial" w:cs="Arial"/>
        </w:rPr>
        <w:t xml:space="preserve">and Innovation </w:t>
      </w:r>
      <w:r w:rsidR="00C2496C">
        <w:rPr>
          <w:rFonts w:ascii="Arial" w:hAnsi="Arial" w:cs="Arial"/>
        </w:rPr>
        <w:t xml:space="preserve">Precinct </w:t>
      </w:r>
      <w:r w:rsidR="00E37EDE" w:rsidRPr="00CF04C7">
        <w:rPr>
          <w:rFonts w:ascii="Arial" w:hAnsi="Arial" w:cs="Arial"/>
        </w:rPr>
        <w:t>Sydney</w:t>
      </w:r>
      <w:r w:rsidR="00EF366D">
        <w:rPr>
          <w:rFonts w:ascii="Arial" w:hAnsi="Arial" w:cs="Arial"/>
        </w:rPr>
        <w:t xml:space="preserve"> Darlinghurst campus</w:t>
      </w:r>
    </w:p>
    <w:p w14:paraId="16B48B2B" w14:textId="61724D24" w:rsidR="00E35370" w:rsidRPr="009E16EA" w:rsidRDefault="00E35370" w:rsidP="00CF04C7">
      <w:pPr>
        <w:pStyle w:val="ListParagraph"/>
        <w:numPr>
          <w:ilvl w:val="0"/>
          <w:numId w:val="2"/>
        </w:numPr>
        <w:spacing w:before="80" w:after="0" w:line="240" w:lineRule="auto"/>
        <w:ind w:left="357" w:hanging="357"/>
        <w:contextualSpacing w:val="0"/>
        <w:rPr>
          <w:rFonts w:ascii="Arial" w:hAnsi="Arial" w:cs="Arial"/>
        </w:rPr>
      </w:pPr>
      <w:r w:rsidRPr="00B53D9B">
        <w:rPr>
          <w:rFonts w:ascii="Arial" w:hAnsi="Arial" w:cs="Arial"/>
        </w:rPr>
        <w:t xml:space="preserve">Applications will be administered through the St Vincent’s Clinic Foundation </w:t>
      </w:r>
      <w:r w:rsidR="00F931AC">
        <w:rPr>
          <w:rFonts w:ascii="Arial" w:hAnsi="Arial" w:cs="Arial"/>
        </w:rPr>
        <w:t xml:space="preserve">grant application and scientific review </w:t>
      </w:r>
      <w:r w:rsidRPr="00B53D9B">
        <w:rPr>
          <w:rFonts w:ascii="Arial" w:hAnsi="Arial" w:cs="Arial"/>
        </w:rPr>
        <w:t>processes.</w:t>
      </w:r>
      <w:r w:rsidR="004B67BB" w:rsidRPr="00B53D9B">
        <w:rPr>
          <w:rFonts w:ascii="Arial" w:hAnsi="Arial" w:cs="Arial"/>
        </w:rPr>
        <w:t xml:space="preserve"> HREC and </w:t>
      </w:r>
      <w:r w:rsidR="00F931AC">
        <w:rPr>
          <w:rFonts w:ascii="Arial" w:hAnsi="Arial" w:cs="Arial"/>
        </w:rPr>
        <w:t xml:space="preserve">research </w:t>
      </w:r>
      <w:r w:rsidR="004B67BB" w:rsidRPr="00B53D9B">
        <w:rPr>
          <w:rFonts w:ascii="Arial" w:hAnsi="Arial" w:cs="Arial"/>
        </w:rPr>
        <w:t>governance approvals</w:t>
      </w:r>
      <w:r w:rsidR="00F931AC">
        <w:rPr>
          <w:rFonts w:ascii="Arial" w:hAnsi="Arial" w:cs="Arial"/>
        </w:rPr>
        <w:t xml:space="preserve"> </w:t>
      </w:r>
      <w:r w:rsidR="00F931AC" w:rsidRPr="007561BF">
        <w:rPr>
          <w:rFonts w:ascii="Arial" w:hAnsi="Arial" w:cs="Arial"/>
        </w:rPr>
        <w:t>must</w:t>
      </w:r>
      <w:r w:rsidR="004B67BB" w:rsidRPr="007561BF">
        <w:rPr>
          <w:rFonts w:ascii="Arial" w:hAnsi="Arial" w:cs="Arial"/>
        </w:rPr>
        <w:t xml:space="preserve"> </w:t>
      </w:r>
      <w:r w:rsidR="00BA6348" w:rsidRPr="007561BF">
        <w:rPr>
          <w:rFonts w:ascii="Arial" w:hAnsi="Arial" w:cs="Arial"/>
        </w:rPr>
        <w:t xml:space="preserve">be </w:t>
      </w:r>
      <w:r w:rsidR="004B67BB" w:rsidRPr="007561BF">
        <w:rPr>
          <w:rFonts w:ascii="Arial" w:hAnsi="Arial" w:cs="Arial"/>
        </w:rPr>
        <w:t>in place before the release of funds.</w:t>
      </w:r>
      <w:r w:rsidR="00CA5BF9" w:rsidRPr="007561BF">
        <w:rPr>
          <w:rFonts w:ascii="Arial" w:hAnsi="Arial" w:cs="Arial"/>
        </w:rPr>
        <w:t xml:space="preserve"> </w:t>
      </w:r>
      <w:r w:rsidR="005D3A9E" w:rsidRPr="007561BF">
        <w:rPr>
          <w:rFonts w:ascii="Arial" w:hAnsi="Arial" w:cs="Arial"/>
        </w:rPr>
        <w:t xml:space="preserve">It would be expected that any successful grant </w:t>
      </w:r>
      <w:r w:rsidR="000234BE" w:rsidRPr="007561BF">
        <w:rPr>
          <w:rFonts w:ascii="Arial" w:hAnsi="Arial" w:cs="Arial"/>
        </w:rPr>
        <w:t>recipient</w:t>
      </w:r>
      <w:r w:rsidR="005D3A9E" w:rsidRPr="007561BF">
        <w:rPr>
          <w:rFonts w:ascii="Arial" w:hAnsi="Arial" w:cs="Arial"/>
        </w:rPr>
        <w:t xml:space="preserve"> could recoup administrative costs associated with the preparation of the successful HREC application (from the net value of the grant) so projects are not </w:t>
      </w:r>
      <w:r w:rsidR="005D3A9E" w:rsidRPr="009E16EA">
        <w:rPr>
          <w:rFonts w:ascii="Arial" w:hAnsi="Arial" w:cs="Arial"/>
        </w:rPr>
        <w:t xml:space="preserve">delayed. </w:t>
      </w:r>
    </w:p>
    <w:p w14:paraId="13B99E6D" w14:textId="3E097B34" w:rsidR="009E16EA" w:rsidRPr="009E16EA" w:rsidRDefault="009E16EA" w:rsidP="009E16E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9E16EA">
        <w:rPr>
          <w:rFonts w:ascii="Arial" w:hAnsi="Arial" w:cs="Arial"/>
        </w:rPr>
        <w:t xml:space="preserve">Grant funds will be paid to an SVHS cost centre </w:t>
      </w:r>
      <w:r w:rsidRPr="009E16EA">
        <w:rPr>
          <w:rFonts w:ascii="Arial" w:hAnsi="Arial" w:cs="Arial"/>
          <w:b/>
        </w:rPr>
        <w:t>only</w:t>
      </w:r>
      <w:r w:rsidRPr="009E16EA">
        <w:rPr>
          <w:rFonts w:ascii="Arial" w:hAnsi="Arial" w:cs="Arial"/>
        </w:rPr>
        <w:t>. Applicants must provide an appropriate SVHS cost</w:t>
      </w:r>
      <w:r>
        <w:rPr>
          <w:rFonts w:ascii="Arial" w:hAnsi="Arial" w:cs="Arial"/>
        </w:rPr>
        <w:t xml:space="preserve"> centre when claiming the grant.</w:t>
      </w:r>
    </w:p>
    <w:p w14:paraId="1A92D3E3" w14:textId="77777777" w:rsidR="004C0334" w:rsidRPr="00CF04C7" w:rsidRDefault="004C0334" w:rsidP="00CF04C7">
      <w:pPr>
        <w:spacing w:after="0" w:line="240" w:lineRule="auto"/>
        <w:rPr>
          <w:rFonts w:ascii="Arial" w:hAnsi="Arial" w:cs="Arial"/>
        </w:rPr>
      </w:pPr>
    </w:p>
    <w:sectPr w:rsidR="004C0334" w:rsidRPr="00CF04C7" w:rsidSect="00CF04C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09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217B4" w14:textId="77777777" w:rsidR="004E2A6F" w:rsidRDefault="004E2A6F" w:rsidP="004E2A6F">
      <w:pPr>
        <w:spacing w:after="0" w:line="240" w:lineRule="auto"/>
      </w:pPr>
      <w:r>
        <w:separator/>
      </w:r>
    </w:p>
  </w:endnote>
  <w:endnote w:type="continuationSeparator" w:id="0">
    <w:p w14:paraId="3D39FFF6" w14:textId="77777777" w:rsidR="004E2A6F" w:rsidRDefault="004E2A6F" w:rsidP="004E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95F9" w14:textId="77777777" w:rsidR="004E2A6F" w:rsidRDefault="004E2A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7437B" w14:textId="77777777" w:rsidR="004E2A6F" w:rsidRDefault="004E2A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CF9B" w14:textId="77777777" w:rsidR="004E2A6F" w:rsidRDefault="004E2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DED37" w14:textId="77777777" w:rsidR="004E2A6F" w:rsidRDefault="004E2A6F" w:rsidP="004E2A6F">
      <w:pPr>
        <w:spacing w:after="0" w:line="240" w:lineRule="auto"/>
      </w:pPr>
      <w:r>
        <w:separator/>
      </w:r>
    </w:p>
  </w:footnote>
  <w:footnote w:type="continuationSeparator" w:id="0">
    <w:p w14:paraId="0B13ADCA" w14:textId="77777777" w:rsidR="004E2A6F" w:rsidRDefault="004E2A6F" w:rsidP="004E2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8AEEB" w14:textId="77777777" w:rsidR="004E2A6F" w:rsidRDefault="004E2A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4DD3" w14:textId="77777777" w:rsidR="004E2A6F" w:rsidRDefault="004E2A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D9A05" w14:textId="77777777" w:rsidR="004E2A6F" w:rsidRDefault="004E2A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D34EB"/>
    <w:multiLevelType w:val="hybridMultilevel"/>
    <w:tmpl w:val="1EAC0FA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1D3F36"/>
    <w:multiLevelType w:val="hybridMultilevel"/>
    <w:tmpl w:val="B4221896"/>
    <w:lvl w:ilvl="0" w:tplc="2E7225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717EDD"/>
    <w:multiLevelType w:val="hybridMultilevel"/>
    <w:tmpl w:val="F556777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8A0F56"/>
    <w:multiLevelType w:val="hybridMultilevel"/>
    <w:tmpl w:val="25802C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384851"/>
    <w:multiLevelType w:val="hybridMultilevel"/>
    <w:tmpl w:val="31DAEBA4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66E82"/>
    <w:multiLevelType w:val="hybridMultilevel"/>
    <w:tmpl w:val="CD0E281A"/>
    <w:lvl w:ilvl="0" w:tplc="7C3456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xNjM0tDS0tDA0NbNQ0lEKTi0uzszPAykwrgUAcHYexywAAAA="/>
  </w:docVars>
  <w:rsids>
    <w:rsidRoot w:val="003936CB"/>
    <w:rsid w:val="0001580C"/>
    <w:rsid w:val="000234BE"/>
    <w:rsid w:val="00024FD0"/>
    <w:rsid w:val="000F01FA"/>
    <w:rsid w:val="0011191D"/>
    <w:rsid w:val="001340D6"/>
    <w:rsid w:val="001850B6"/>
    <w:rsid w:val="00211CA8"/>
    <w:rsid w:val="00232E2D"/>
    <w:rsid w:val="00271174"/>
    <w:rsid w:val="00335A92"/>
    <w:rsid w:val="00391FCE"/>
    <w:rsid w:val="003936CB"/>
    <w:rsid w:val="003A0901"/>
    <w:rsid w:val="003C682A"/>
    <w:rsid w:val="00437FC7"/>
    <w:rsid w:val="00452943"/>
    <w:rsid w:val="004B67BB"/>
    <w:rsid w:val="004B7C32"/>
    <w:rsid w:val="004C0334"/>
    <w:rsid w:val="004E2A6F"/>
    <w:rsid w:val="005525BA"/>
    <w:rsid w:val="005D3A9E"/>
    <w:rsid w:val="005F630F"/>
    <w:rsid w:val="006257AF"/>
    <w:rsid w:val="00625B1F"/>
    <w:rsid w:val="0066270E"/>
    <w:rsid w:val="00663137"/>
    <w:rsid w:val="00663BDE"/>
    <w:rsid w:val="00663F39"/>
    <w:rsid w:val="00680B5E"/>
    <w:rsid w:val="006A55F0"/>
    <w:rsid w:val="006F6DFE"/>
    <w:rsid w:val="007006F4"/>
    <w:rsid w:val="00740671"/>
    <w:rsid w:val="007561BF"/>
    <w:rsid w:val="007A5E36"/>
    <w:rsid w:val="00800B0B"/>
    <w:rsid w:val="0084506E"/>
    <w:rsid w:val="00890FF6"/>
    <w:rsid w:val="008F03B3"/>
    <w:rsid w:val="008F6834"/>
    <w:rsid w:val="00905B4F"/>
    <w:rsid w:val="009432DD"/>
    <w:rsid w:val="009538C2"/>
    <w:rsid w:val="0099170B"/>
    <w:rsid w:val="009E16EA"/>
    <w:rsid w:val="00A41A82"/>
    <w:rsid w:val="00A73CDF"/>
    <w:rsid w:val="00AE2F37"/>
    <w:rsid w:val="00B53D9B"/>
    <w:rsid w:val="00BA6348"/>
    <w:rsid w:val="00BD1B8C"/>
    <w:rsid w:val="00C2496C"/>
    <w:rsid w:val="00C34DF3"/>
    <w:rsid w:val="00CA5BF9"/>
    <w:rsid w:val="00CE2C48"/>
    <w:rsid w:val="00CF04C7"/>
    <w:rsid w:val="00D427DA"/>
    <w:rsid w:val="00D86A7F"/>
    <w:rsid w:val="00DF64A8"/>
    <w:rsid w:val="00E35370"/>
    <w:rsid w:val="00E37EDE"/>
    <w:rsid w:val="00E75BD2"/>
    <w:rsid w:val="00E810EC"/>
    <w:rsid w:val="00EF366D"/>
    <w:rsid w:val="00F931AC"/>
    <w:rsid w:val="00FB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11A5A7"/>
  <w15:docId w15:val="{806C6AA0-92ED-4E63-9535-45AA4542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8C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6A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2C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C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C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C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C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C4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37FC7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9538C2"/>
    <w:pPr>
      <w:spacing w:after="0" w:line="240" w:lineRule="auto"/>
    </w:pPr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9538C2"/>
    <w:rPr>
      <w:sz w:val="24"/>
      <w:szCs w:val="24"/>
    </w:rPr>
  </w:style>
  <w:style w:type="table" w:styleId="TableGrid">
    <w:name w:val="Table Grid"/>
    <w:basedOn w:val="TableNormal"/>
    <w:uiPriority w:val="59"/>
    <w:rsid w:val="009538C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38C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538C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E2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A6F"/>
  </w:style>
  <w:style w:type="paragraph" w:styleId="Footer">
    <w:name w:val="footer"/>
    <w:basedOn w:val="Normal"/>
    <w:link w:val="FooterChar"/>
    <w:uiPriority w:val="99"/>
    <w:unhideWhenUsed/>
    <w:rsid w:val="004E2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A6F"/>
  </w:style>
  <w:style w:type="character" w:styleId="UnresolvedMention">
    <w:name w:val="Unresolved Mention"/>
    <w:basedOn w:val="DefaultParagraphFont"/>
    <w:uiPriority w:val="99"/>
    <w:semiHidden/>
    <w:unhideWhenUsed/>
    <w:rsid w:val="00845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vcresearchfoundation@svha.org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ba8879-7915-4898-8eed-38d9797d38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1709B30893C4CAAA9219CA0131392" ma:contentTypeVersion="18" ma:contentTypeDescription="Create a new document." ma:contentTypeScope="" ma:versionID="13699b37ebfe90d020b5ca0addb2e5c3">
  <xsd:schema xmlns:xsd="http://www.w3.org/2001/XMLSchema" xmlns:xs="http://www.w3.org/2001/XMLSchema" xmlns:p="http://schemas.microsoft.com/office/2006/metadata/properties" xmlns:ns3="19aceba2-11c5-47cd-8535-e0166621cb61" xmlns:ns4="b6ba8879-7915-4898-8eed-38d9797d38d0" targetNamespace="http://schemas.microsoft.com/office/2006/metadata/properties" ma:root="true" ma:fieldsID="769949869fc908310cc0a57ab240d680" ns3:_="" ns4:_="">
    <xsd:import namespace="19aceba2-11c5-47cd-8535-e0166621cb61"/>
    <xsd:import namespace="b6ba8879-7915-4898-8eed-38d9797d38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ceba2-11c5-47cd-8535-e0166621cb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a8879-7915-4898-8eed-38d9797d3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AE37858-DD33-41FB-A979-2418AF2150C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6ba8879-7915-4898-8eed-38d9797d38d0"/>
    <ds:schemaRef ds:uri="19aceba2-11c5-47cd-8535-e0166621cb6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C5104B-B8B0-4B65-95D9-C2B53CA998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063945-9D90-42A6-8A1C-0756341D9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aceba2-11c5-47cd-8535-e0166621cb61"/>
    <ds:schemaRef ds:uri="b6ba8879-7915-4898-8eed-38d9797d3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8B08AE-58C7-48C6-8FDA-D50D7F5D449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pcunningham</dc:creator>
  <cp:keywords/>
  <dc:description/>
  <cp:lastModifiedBy>Katrina Smith - SVPHS</cp:lastModifiedBy>
  <cp:revision>5</cp:revision>
  <cp:lastPrinted>2019-04-16T01:36:00Z</cp:lastPrinted>
  <dcterms:created xsi:type="dcterms:W3CDTF">2025-03-24T05:00:00Z</dcterms:created>
  <dcterms:modified xsi:type="dcterms:W3CDTF">2025-03-24T05:19:00Z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0x010100C061709B30893C4CAAA9219CA0131392</vt:lpwstr>
  </property>
</Properties>
</file>